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7FA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hAnsi="Corbel"/>
          <w:noProof/>
          <w:sz w:val="24"/>
          <w:szCs w:val="24"/>
        </w:rPr>
        <w:drawing>
          <wp:inline distT="0" distB="0" distL="0" distR="0" wp14:anchorId="77E36EB1" wp14:editId="6B1A6D5E">
            <wp:extent cx="1112520" cy="1135380"/>
            <wp:effectExtent l="0" t="0" r="0" b="7620"/>
            <wp:docPr id="1" name="Imagen 1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d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73B7" w14:textId="77777777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CONCURSO INTERNO – EXTERNO</w:t>
      </w:r>
    </w:p>
    <w:p w14:paraId="0984EA8E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4B271078" w14:textId="37A5F8BD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Llamado a presentación y evaluación de antecedentes para imparti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 </w:t>
      </w:r>
      <w:r w:rsidR="0001258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7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c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urso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</w:t>
      </w:r>
      <w:r w:rsidR="00B9039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presenciales</w:t>
      </w:r>
      <w:r w:rsid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 Formación General </w:t>
      </w:r>
      <w:r w:rsidR="00D819D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en Sede Santiago y Huechuraba </w:t>
      </w:r>
      <w:r w:rsidR="00F16520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para</w:t>
      </w:r>
      <w:r w:rsidR="00BD049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el segundo semestre 2026</w:t>
      </w:r>
    </w:p>
    <w:p w14:paraId="34AF9EF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5073301E" w14:textId="4990BB1B" w:rsidR="00B95916" w:rsidRPr="00633E1B" w:rsidRDefault="00B95916" w:rsidP="00B95916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Santiago, </w:t>
      </w:r>
      <w:r w:rsidR="00D819D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0</w:t>
      </w:r>
      <w:r w:rsid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1 de abril 2026</w:t>
      </w:r>
    </w:p>
    <w:p w14:paraId="42A9715B" w14:textId="4947F293" w:rsidR="00FC269D" w:rsidRPr="00633E1B" w:rsidRDefault="00FC269D" w:rsidP="008946E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proofErr w:type="spellStart"/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Convocatoria</w:t>
      </w:r>
      <w:proofErr w:type="spellEnd"/>
    </w:p>
    <w:p w14:paraId="5C5A531D" w14:textId="0B0A8A8B" w:rsidR="004B5B6F" w:rsidRDefault="006F194C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La Dirección General </w:t>
      </w:r>
      <w:r w:rsidR="00792C67">
        <w:rPr>
          <w:rFonts w:ascii="Corbel" w:eastAsia="Times New Roman" w:hAnsi="Corbel" w:cs="Times New Roman"/>
          <w:sz w:val="24"/>
          <w:szCs w:val="24"/>
          <w:lang w:val="es-419"/>
        </w:rPr>
        <w:t>de Estudios Generales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, Archivos y Cultura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Universidad Diego Portales (UDP) invita a</w:t>
      </w:r>
      <w:r w:rsidR="00AA3F16">
        <w:rPr>
          <w:rFonts w:ascii="Corbel" w:eastAsia="Times New Roman" w:hAnsi="Corbel" w:cs="Times New Roman"/>
          <w:sz w:val="24"/>
          <w:szCs w:val="24"/>
          <w:lang w:val="es-419"/>
        </w:rPr>
        <w:t xml:space="preserve"> los y las docentes a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participar en </w:t>
      </w:r>
      <w:r w:rsidR="000D4469">
        <w:rPr>
          <w:rFonts w:ascii="Corbel" w:eastAsia="Times New Roman" w:hAnsi="Corbel" w:cs="Times New Roman"/>
          <w:sz w:val="24"/>
          <w:szCs w:val="24"/>
          <w:lang w:val="es-419"/>
        </w:rPr>
        <w:t xml:space="preserve">un </w:t>
      </w:r>
      <w:r w:rsidR="000D4469" w:rsidRPr="004B5B6F">
        <w:rPr>
          <w:rFonts w:ascii="Corbel" w:eastAsia="Times New Roman" w:hAnsi="Corbel" w:cs="Times New Roman"/>
          <w:sz w:val="24"/>
          <w:szCs w:val="24"/>
          <w:lang w:val="es-419"/>
        </w:rPr>
        <w:t>concurso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público para la </w:t>
      </w:r>
      <w:r w:rsidR="00075B41">
        <w:rPr>
          <w:rFonts w:ascii="Corbel" w:eastAsia="Times New Roman" w:hAnsi="Corbel" w:cs="Times New Roman"/>
          <w:sz w:val="24"/>
          <w:szCs w:val="24"/>
          <w:lang w:val="es-419"/>
        </w:rPr>
        <w:t xml:space="preserve">implementación de </w:t>
      </w:r>
      <w:r w:rsidR="00D10E7E">
        <w:rPr>
          <w:rFonts w:ascii="Corbel" w:eastAsia="Times New Roman" w:hAnsi="Corbel" w:cs="Times New Roman"/>
          <w:sz w:val="24"/>
          <w:szCs w:val="24"/>
          <w:lang w:val="es-419"/>
        </w:rPr>
        <w:t xml:space="preserve">siete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>cursos</w:t>
      </w:r>
      <w:r w:rsidR="00CB4C65">
        <w:rPr>
          <w:rFonts w:ascii="Corbel" w:eastAsia="Times New Roman" w:hAnsi="Corbel" w:cs="Times New Roman"/>
          <w:sz w:val="24"/>
          <w:szCs w:val="24"/>
          <w:lang w:val="es-419"/>
        </w:rPr>
        <w:t xml:space="preserve"> nuevos</w:t>
      </w:r>
      <w:r w:rsidR="004E62D0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>modalidad presencial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64A68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dictarse e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l segundo semestre 2026.</w:t>
      </w:r>
    </w:p>
    <w:p w14:paraId="3FEA079F" w14:textId="20057B2D" w:rsidR="001B1769" w:rsidRDefault="00D64A68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="001B1769">
        <w:rPr>
          <w:rFonts w:ascii="Corbel" w:eastAsia="Times New Roman" w:hAnsi="Corbel" w:cs="Times New Roman"/>
          <w:sz w:val="24"/>
          <w:szCs w:val="24"/>
          <w:lang w:val="es-419"/>
        </w:rPr>
        <w:t xml:space="preserve"> los cursos seleccionados, </w:t>
      </w:r>
      <w:r w:rsidR="006F194C">
        <w:rPr>
          <w:rFonts w:ascii="Corbel" w:eastAsia="Times New Roman" w:hAnsi="Corbel" w:cs="Times New Roman"/>
          <w:sz w:val="24"/>
          <w:szCs w:val="24"/>
          <w:lang w:val="es-419"/>
        </w:rPr>
        <w:t>cuatro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cursos se impartirán </w:t>
      </w:r>
      <w:r w:rsidR="00E6786C">
        <w:rPr>
          <w:rFonts w:ascii="Corbel" w:eastAsia="Times New Roman" w:hAnsi="Corbel" w:cs="Times New Roman"/>
          <w:sz w:val="24"/>
          <w:szCs w:val="24"/>
          <w:lang w:val="es-419"/>
        </w:rPr>
        <w:t>en la sede de Santiago Centro</w:t>
      </w:r>
      <w:r w:rsidR="006F194C">
        <w:rPr>
          <w:rFonts w:ascii="Corbel" w:eastAsia="Times New Roman" w:hAnsi="Corbel" w:cs="Times New Roman"/>
          <w:sz w:val="24"/>
          <w:szCs w:val="24"/>
          <w:lang w:val="es-419"/>
        </w:rPr>
        <w:t>, y los tres cursos restantes se impartirán en la Sede de Huechuraba.</w:t>
      </w:r>
    </w:p>
    <w:p w14:paraId="574C71F8" w14:textId="41461B12" w:rsidR="005B6993" w:rsidRDefault="003A2081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Se espera que las y los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postulantes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presenten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>su disponibilidad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horaria</w:t>
      </w:r>
      <w:r w:rsidR="008323EF">
        <w:rPr>
          <w:rFonts w:ascii="Corbel" w:eastAsia="Times New Roman" w:hAnsi="Corbel" w:cs="Times New Roman"/>
          <w:sz w:val="24"/>
          <w:szCs w:val="24"/>
          <w:lang w:val="es-419"/>
        </w:rPr>
        <w:t xml:space="preserve"> diurna</w:t>
      </w:r>
      <w:r w:rsidR="0015243E">
        <w:rPr>
          <w:rFonts w:ascii="Corbel" w:eastAsia="Times New Roman" w:hAnsi="Corbel" w:cs="Times New Roman"/>
          <w:sz w:val="24"/>
          <w:szCs w:val="24"/>
          <w:lang w:val="es-419"/>
        </w:rPr>
        <w:t xml:space="preserve"> (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inicio 08:30, término 18:45)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como 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>vespertina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 xml:space="preserve"> (inicio 18:50, término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 xml:space="preserve"> 23:00)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manera más amplia posible. D</w:t>
      </w:r>
      <w:r w:rsidR="004409B8">
        <w:rPr>
          <w:rFonts w:ascii="Corbel" w:eastAsia="Times New Roman" w:hAnsi="Corbel" w:cs="Times New Roman"/>
          <w:sz w:val="24"/>
          <w:szCs w:val="24"/>
          <w:lang w:val="es-419"/>
        </w:rPr>
        <w:t>os</w:t>
      </w:r>
      <w:r w:rsidR="0048532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="00A133E1">
        <w:rPr>
          <w:rFonts w:ascii="Corbel" w:eastAsia="Times New Roman" w:hAnsi="Corbel" w:cs="Times New Roman"/>
          <w:sz w:val="24"/>
          <w:szCs w:val="24"/>
          <w:lang w:val="es-419"/>
        </w:rPr>
        <w:t>l total de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 xml:space="preserve"> los cursos seleccionados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>, dos</w:t>
      </w:r>
      <w:r w:rsidR="00B346E1">
        <w:rPr>
          <w:rFonts w:ascii="Corbel" w:eastAsia="Times New Roman" w:hAnsi="Corbel" w:cs="Times New Roman"/>
          <w:sz w:val="24"/>
          <w:szCs w:val="24"/>
          <w:lang w:val="es-419"/>
        </w:rPr>
        <w:t xml:space="preserve"> serán 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>destinados a horarios vespertinos</w:t>
      </w:r>
      <w:r w:rsidR="00A133E1">
        <w:rPr>
          <w:rFonts w:ascii="Corbel" w:eastAsia="Times New Roman" w:hAnsi="Corbel" w:cs="Times New Roman"/>
          <w:sz w:val="24"/>
          <w:szCs w:val="24"/>
          <w:lang w:val="es-419"/>
        </w:rPr>
        <w:t xml:space="preserve">. 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El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horario será convenido con los y las d</w:t>
      </w:r>
      <w:r w:rsidR="002B1333">
        <w:rPr>
          <w:rFonts w:ascii="Corbel" w:eastAsia="Times New Roman" w:hAnsi="Corbel" w:cs="Times New Roman"/>
          <w:sz w:val="24"/>
          <w:szCs w:val="24"/>
          <w:lang w:val="es-419"/>
        </w:rPr>
        <w:t>o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centes que se adjudiquen el concurso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 de acuerdo con su disponibilidad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1B797F33" w14:textId="03816F72" w:rsidR="004619EE" w:rsidRPr="004D1F44" w:rsidRDefault="004619EE" w:rsidP="004D1F44">
      <w:pPr>
        <w:pStyle w:val="Prrafodelista"/>
        <w:numPr>
          <w:ilvl w:val="1"/>
          <w:numId w:val="25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D1F44">
        <w:rPr>
          <w:rFonts w:ascii="Corbel" w:eastAsia="Times New Roman" w:hAnsi="Corbel" w:cs="Times New Roman"/>
          <w:sz w:val="24"/>
          <w:szCs w:val="24"/>
          <w:lang w:val="es-419"/>
        </w:rPr>
        <w:t>Cuadro resumen de los cursos</w:t>
      </w:r>
      <w:r w:rsidR="005C7DE8" w:rsidRPr="004D1F44">
        <w:rPr>
          <w:rFonts w:ascii="Corbel" w:eastAsia="Times New Roman" w:hAnsi="Corbel" w:cs="Times New Roman"/>
          <w:sz w:val="24"/>
          <w:szCs w:val="24"/>
          <w:lang w:val="es-419"/>
        </w:rPr>
        <w:t xml:space="preserve"> convocados: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45"/>
        <w:gridCol w:w="1890"/>
        <w:gridCol w:w="2697"/>
        <w:gridCol w:w="2694"/>
      </w:tblGrid>
      <w:tr w:rsidR="0048532F" w14:paraId="4FC8BF1B" w14:textId="6911EED2" w:rsidTr="004D1F44">
        <w:tc>
          <w:tcPr>
            <w:tcW w:w="1645" w:type="dxa"/>
            <w:shd w:val="clear" w:color="auto" w:fill="FFFFFF" w:themeFill="background1"/>
          </w:tcPr>
          <w:p w14:paraId="67086E5A" w14:textId="77777777" w:rsidR="0048532F" w:rsidRDefault="0048532F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497E6303" w14:textId="786390C8" w:rsidR="0048532F" w:rsidRDefault="0048532F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Cursos totales seleccionados</w:t>
            </w:r>
          </w:p>
        </w:tc>
        <w:tc>
          <w:tcPr>
            <w:tcW w:w="2697" w:type="dxa"/>
            <w:shd w:val="clear" w:color="auto" w:fill="FFFFFF" w:themeFill="background1"/>
          </w:tcPr>
          <w:p w14:paraId="10A94EA6" w14:textId="04586EAA" w:rsidR="0048532F" w:rsidRDefault="0048532F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Sede de cursos</w:t>
            </w:r>
          </w:p>
        </w:tc>
        <w:tc>
          <w:tcPr>
            <w:tcW w:w="2694" w:type="dxa"/>
            <w:shd w:val="clear" w:color="auto" w:fill="FFFFFF" w:themeFill="background1"/>
          </w:tcPr>
          <w:p w14:paraId="7003E233" w14:textId="53A3B489" w:rsidR="0048532F" w:rsidRDefault="0048532F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Horario </w:t>
            </w:r>
          </w:p>
        </w:tc>
      </w:tr>
      <w:tr w:rsidR="006F194C" w14:paraId="768AC9EE" w14:textId="758FB28C" w:rsidTr="004D1F44">
        <w:tc>
          <w:tcPr>
            <w:tcW w:w="1645" w:type="dxa"/>
            <w:vMerge w:val="restart"/>
            <w:shd w:val="clear" w:color="auto" w:fill="FFFFFF" w:themeFill="background1"/>
          </w:tcPr>
          <w:p w14:paraId="63584C3E" w14:textId="75A544CE" w:rsidR="006F194C" w:rsidRDefault="006F194C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Segundo semestre</w:t>
            </w:r>
          </w:p>
        </w:tc>
        <w:tc>
          <w:tcPr>
            <w:tcW w:w="1890" w:type="dxa"/>
            <w:shd w:val="clear" w:color="auto" w:fill="FFFFFF" w:themeFill="background1"/>
          </w:tcPr>
          <w:p w14:paraId="4D71D3C5" w14:textId="4BB9F252" w:rsidR="006F194C" w:rsidRDefault="006F194C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4</w:t>
            </w:r>
          </w:p>
        </w:tc>
        <w:tc>
          <w:tcPr>
            <w:tcW w:w="2697" w:type="dxa"/>
            <w:shd w:val="clear" w:color="auto" w:fill="FFFFFF" w:themeFill="background1"/>
          </w:tcPr>
          <w:p w14:paraId="22D5FFF7" w14:textId="587ABD30" w:rsidR="006F194C" w:rsidRDefault="006F194C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Santiago Centro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28FC21F2" w14:textId="77777777" w:rsidR="006F194C" w:rsidRDefault="006F194C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</w:t>
            </w:r>
          </w:p>
          <w:p w14:paraId="6A6261E9" w14:textId="1D678F96" w:rsidR="006F194C" w:rsidRDefault="006F194C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2 cursos vespertinos</w:t>
            </w:r>
          </w:p>
          <w:p w14:paraId="24C190FC" w14:textId="15214F53" w:rsidR="006F194C" w:rsidRDefault="006F194C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5 diurnos</w:t>
            </w:r>
          </w:p>
        </w:tc>
      </w:tr>
      <w:tr w:rsidR="006F194C" w14:paraId="4D218041" w14:textId="1D7C6877" w:rsidTr="004D1F44">
        <w:tc>
          <w:tcPr>
            <w:tcW w:w="1645" w:type="dxa"/>
            <w:vMerge/>
            <w:shd w:val="clear" w:color="auto" w:fill="FFFFFF" w:themeFill="background1"/>
          </w:tcPr>
          <w:p w14:paraId="02737BD6" w14:textId="50EF7B9C" w:rsidR="006F194C" w:rsidRDefault="006F194C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23626B14" w14:textId="798366C3" w:rsidR="006F194C" w:rsidRDefault="006F194C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3</w:t>
            </w:r>
          </w:p>
        </w:tc>
        <w:tc>
          <w:tcPr>
            <w:tcW w:w="2697" w:type="dxa"/>
            <w:shd w:val="clear" w:color="auto" w:fill="FFFFFF" w:themeFill="background1"/>
          </w:tcPr>
          <w:p w14:paraId="11B2A9CD" w14:textId="77B8BC37" w:rsidR="006F194C" w:rsidRDefault="006F194C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Huechuraba </w:t>
            </w:r>
          </w:p>
        </w:tc>
        <w:tc>
          <w:tcPr>
            <w:tcW w:w="2694" w:type="dxa"/>
            <w:vMerge/>
            <w:shd w:val="clear" w:color="auto" w:fill="FFFFFF" w:themeFill="background1"/>
          </w:tcPr>
          <w:p w14:paraId="48C05A12" w14:textId="393F6B91" w:rsidR="006F194C" w:rsidRDefault="006F194C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</w:p>
        </w:tc>
      </w:tr>
    </w:tbl>
    <w:p w14:paraId="68E9A72E" w14:textId="77777777" w:rsidR="00FC269D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0E6398F8" w14:textId="03A6EAD4" w:rsidR="00576038" w:rsidRPr="00ED5CC2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      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2. </w:t>
      </w:r>
      <w:r w:rsidR="00576038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O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rientación de</w:t>
      </w:r>
      <w:r w:rsidR="000714AE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los cursos</w:t>
      </w:r>
    </w:p>
    <w:p w14:paraId="1F59EE22" w14:textId="2D62057C" w:rsidR="004B5B6F" w:rsidRDefault="004B5B6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Los cursos forma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n </w:t>
      </w:r>
      <w:r w:rsidR="00021A31">
        <w:rPr>
          <w:rFonts w:ascii="Corbel" w:eastAsia="Times New Roman" w:hAnsi="Corbel" w:cs="Times New Roman"/>
          <w:sz w:val="24"/>
          <w:szCs w:val="24"/>
          <w:lang w:val="es-419"/>
        </w:rPr>
        <w:t xml:space="preserve">parte de la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oferta académica de</w:t>
      </w:r>
      <w:r w:rsidR="006F194C">
        <w:rPr>
          <w:rFonts w:ascii="Corbel" w:eastAsia="Times New Roman" w:hAnsi="Corbel" w:cs="Times New Roman"/>
          <w:sz w:val="24"/>
          <w:szCs w:val="24"/>
          <w:lang w:val="es-419"/>
        </w:rPr>
        <w:t xml:space="preserve"> la Dirección General de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enerales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6F194C">
        <w:rPr>
          <w:rFonts w:ascii="Corbel" w:eastAsia="Times New Roman" w:hAnsi="Corbel" w:cs="Times New Roman"/>
          <w:sz w:val="24"/>
          <w:szCs w:val="24"/>
          <w:lang w:val="es-419"/>
        </w:rPr>
        <w:t xml:space="preserve"> Archivos y Cultura, 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núcleo formativo relevante de tod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s l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as carreras del pregrado basado en un enfoque integrador</w:t>
      </w:r>
      <w:r w:rsidR="000C33A7">
        <w:rPr>
          <w:rFonts w:ascii="Corbel" w:eastAsia="Times New Roman" w:hAnsi="Corbel" w:cs="Times New Roman"/>
          <w:sz w:val="24"/>
          <w:szCs w:val="24"/>
          <w:lang w:val="es-419"/>
        </w:rPr>
        <w:t xml:space="preserve"> y transdisciplinar que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B7809">
        <w:rPr>
          <w:rFonts w:ascii="Corbel" w:eastAsia="Times New Roman" w:hAnsi="Corbel" w:cs="Times New Roman"/>
          <w:sz w:val="24"/>
          <w:szCs w:val="24"/>
          <w:lang w:val="es-419"/>
        </w:rPr>
        <w:t xml:space="preserve">promueve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la reflexión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lastRenderedPageBreak/>
        <w:t xml:space="preserve">sobre las preguntas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permanentes del 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 xml:space="preserve">conocimiento </w:t>
      </w:r>
      <w:r w:rsidR="00CA423B" w:rsidRPr="004B5B6F">
        <w:rPr>
          <w:rFonts w:ascii="Corbel" w:eastAsia="Times New Roman" w:hAnsi="Corbel" w:cs="Times New Roman"/>
          <w:sz w:val="24"/>
          <w:szCs w:val="24"/>
          <w:lang w:val="es-419"/>
        </w:rPr>
        <w:t>y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del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ser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humano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como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la comprensión de fenómenos sociales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complejos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propios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 la sociedad actual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>De esta forma, se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espera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ampliar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las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áreas de interés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del estudiantado más allá de la formación disciplinar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y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desarrolla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>r</w:t>
      </w:r>
      <w:r w:rsidR="009440BD">
        <w:rPr>
          <w:rFonts w:ascii="Corbel" w:eastAsia="Times New Roman" w:hAnsi="Corbel" w:cs="Times New Roman"/>
          <w:sz w:val="24"/>
          <w:szCs w:val="24"/>
          <w:lang w:val="es-419"/>
        </w:rPr>
        <w:t xml:space="preserve"> una aproximación pluralista e inclusiva. </w:t>
      </w:r>
    </w:p>
    <w:p w14:paraId="3B0AC8B7" w14:textId="7C5B06C6" w:rsidR="005134E0" w:rsidRPr="004B5B6F" w:rsidRDefault="005134E0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Para lograr </w:t>
      </w:r>
      <w:r w:rsidR="003E3C09">
        <w:rPr>
          <w:rFonts w:ascii="Corbel" w:eastAsia="Times New Roman" w:hAnsi="Corbel" w:cs="Times New Roman"/>
          <w:sz w:val="24"/>
          <w:szCs w:val="24"/>
          <w:lang w:val="es-419"/>
        </w:rPr>
        <w:t xml:space="preserve">sus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objetivos, los Estudios Generales en la UDP</w:t>
      </w:r>
      <w:r w:rsidR="00D241EE">
        <w:rPr>
          <w:rFonts w:ascii="Corbel" w:eastAsia="Times New Roman" w:hAnsi="Corbel" w:cs="Times New Roman"/>
          <w:sz w:val="24"/>
          <w:szCs w:val="24"/>
          <w:lang w:val="es-419"/>
        </w:rPr>
        <w:t>, se organizan en tres áreas comprensivas del conocimiento:</w:t>
      </w:r>
    </w:p>
    <w:p w14:paraId="0EDE9656" w14:textId="4854E1AB" w:rsidR="00F514B0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Sociedad y Ciudadanía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: </w:t>
      </w:r>
      <w:r w:rsidR="00BE455C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su objetivo es comprender la complejidad de los fenómenos sociales acogiendo </w:t>
      </w:r>
      <w:r w:rsidR="004F0532" w:rsidRPr="003C272D">
        <w:rPr>
          <w:rFonts w:ascii="Corbel" w:eastAsia="Times New Roman" w:hAnsi="Corbel" w:cs="Times New Roman"/>
          <w:sz w:val="24"/>
          <w:szCs w:val="24"/>
          <w:lang w:val="es-419"/>
        </w:rPr>
        <w:t>múltiples perspectivas e interpretaciones intelectuales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, los cambios a lo largo de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la historia y las diferencias entre contextos sociales y culturales</w:t>
      </w:r>
      <w:r w:rsidR="00486A78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, así como también la diversidad de los seres </w:t>
      </w:r>
      <w:r w:rsidR="00A2298F" w:rsidRPr="003C272D">
        <w:rPr>
          <w:rFonts w:ascii="Corbel" w:eastAsia="Times New Roman" w:hAnsi="Corbel" w:cs="Times New Roman"/>
          <w:sz w:val="24"/>
          <w:szCs w:val="24"/>
          <w:lang w:val="es-419"/>
        </w:rPr>
        <w:t>humanos.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A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>lgunos de los cursos dictados en esta área son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ciudad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como espacio inclusivo; Derecho de las minorías e interculturalismo; </w:t>
      </w:r>
      <w:r w:rsidR="00F200A2">
        <w:rPr>
          <w:rFonts w:ascii="Corbel" w:eastAsia="Times New Roman" w:hAnsi="Corbel" w:cs="Times New Roman"/>
          <w:sz w:val="24"/>
          <w:szCs w:val="24"/>
          <w:lang w:val="es-419"/>
        </w:rPr>
        <w:t xml:space="preserve">El siglo XX: transformaciones y conflictos hacia el siglo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XXI; Población, desarrollo y políticas p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ú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blicas.</w:t>
      </w:r>
    </w:p>
    <w:p w14:paraId="5C68404C" w14:textId="109DC015" w:rsidR="004B5B6F" w:rsidRPr="003C272D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Ética, Indagación Filosófica y Estética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 busca la reflexión 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sobre las grandes preguntas del campo de las humanidades por medio del desarrollo de la lógica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, del discernimiento ético, apreciación crítica de producciones artísticas del 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pasado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 y presente</w:t>
      </w:r>
      <w:r w:rsidR="007B5CE8">
        <w:rPr>
          <w:rFonts w:ascii="Corbel" w:eastAsia="Times New Roman" w:hAnsi="Corbel" w:cs="Times New Roman"/>
          <w:sz w:val="24"/>
          <w:szCs w:val="24"/>
          <w:lang w:val="es-419"/>
        </w:rPr>
        <w:t>, así como del examen de sistemas de pensamiento, ideas y conceptos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.  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lgunos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 xml:space="preserve"> de los cursos dictados en esta área son: Mujer y pensamiento; </w:t>
      </w:r>
      <w:r w:rsidR="009077A7">
        <w:rPr>
          <w:rFonts w:ascii="Corbel" w:eastAsia="Times New Roman" w:hAnsi="Corbel" w:cs="Times New Roman"/>
          <w:sz w:val="24"/>
          <w:szCs w:val="24"/>
          <w:lang w:val="es-419"/>
        </w:rPr>
        <w:t xml:space="preserve">El documental en América Latina: un relato social; </w:t>
      </w:r>
      <w:r w:rsidR="000E7B63">
        <w:rPr>
          <w:rFonts w:ascii="Corbel" w:eastAsia="Times New Roman" w:hAnsi="Corbel" w:cs="Times New Roman"/>
          <w:sz w:val="24"/>
          <w:szCs w:val="24"/>
          <w:lang w:val="es-419"/>
        </w:rPr>
        <w:t>La era de las vanguardias históricas; Dilemas éticos en las democracias contemporáneas</w:t>
      </w:r>
      <w:r w:rsidR="00065E3E">
        <w:rPr>
          <w:rFonts w:ascii="Corbel" w:eastAsia="Times New Roman" w:hAnsi="Corbel" w:cs="Times New Roman"/>
          <w:sz w:val="24"/>
          <w:szCs w:val="24"/>
          <w:lang w:val="es-419"/>
        </w:rPr>
        <w:t>; Imagen, fotografía y memoria; Razonamiento y pensamiento crítico.</w:t>
      </w:r>
    </w:p>
    <w:p w14:paraId="3391C73A" w14:textId="7C0CD7B9" w:rsidR="00201BDA" w:rsidRPr="00C05BBF" w:rsidRDefault="004B5B6F" w:rsidP="00902A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BD444F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Razonamiento Científico y Tecnologías</w:t>
      </w:r>
      <w:r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: </w:t>
      </w:r>
      <w:r w:rsidR="00564DD8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El objetivo central del área es que los estudiantes comprendan modelos, principios y teorías científicas </w:t>
      </w:r>
      <w:r w:rsidR="00E824F7" w:rsidRPr="00BD444F">
        <w:rPr>
          <w:rFonts w:ascii="Corbel" w:eastAsia="Times New Roman" w:hAnsi="Corbel" w:cs="Times New Roman"/>
          <w:sz w:val="24"/>
          <w:szCs w:val="24"/>
          <w:lang w:val="es-419"/>
        </w:rPr>
        <w:t>que permiten abordar fenómenos complejos y conocer la realidad física, así como el impacto del cambio tecnológico y sus implicancias sociales, éticas y ambientales</w:t>
      </w:r>
      <w:r w:rsidR="008F4C6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. Algunos de los cursos del área son: Origen y evolución de la vida; </w:t>
      </w:r>
      <w:r w:rsidR="00A237C7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Astronomía general; Problemáticas contemporáneas de la sexualidad; </w:t>
      </w:r>
      <w:r w:rsidR="005166A1" w:rsidRPr="00BD444F">
        <w:rPr>
          <w:rFonts w:ascii="Corbel" w:eastAsia="Times New Roman" w:hAnsi="Corbel" w:cs="Times New Roman"/>
          <w:sz w:val="24"/>
          <w:szCs w:val="24"/>
          <w:lang w:val="es-419"/>
        </w:rPr>
        <w:t>Cambio climático y ecología política global</w:t>
      </w:r>
      <w:r w:rsidR="00BD444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; Inteligencia Artificial. </w:t>
      </w:r>
    </w:p>
    <w:p w14:paraId="50CB0A30" w14:textId="597CED88" w:rsidR="00201BDA" w:rsidRDefault="00201BDA" w:rsidP="000F3A9E">
      <w:pPr>
        <w:spacing w:after="200" w:line="240" w:lineRule="auto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6D0D21BC" w14:textId="50F6F06F" w:rsidR="00021A31" w:rsidRPr="00ED5CC2" w:rsidRDefault="00CE1B92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3. </w:t>
      </w:r>
      <w:proofErr w:type="spellStart"/>
      <w:r w:rsidR="00FF0FB7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Requisitos</w:t>
      </w:r>
      <w:proofErr w:type="spellEnd"/>
    </w:p>
    <w:p w14:paraId="64C8BE31" w14:textId="5B461758" w:rsidR="00FF0FB7" w:rsidRPr="00902A6B" w:rsidRDefault="00FF0FB7" w:rsidP="00902A6B">
      <w:pPr>
        <w:spacing w:after="20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El cuerpo docente del Departamento de Estudios Generales es multidisciplinar y está altamente calificado destacando por su rigurosidad y por la búsqueda de la excelencia 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 xml:space="preserve">académica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por medio de la innovación y </w:t>
      </w:r>
      <w:r w:rsidR="0007418F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actualización</w:t>
      </w:r>
      <w:r w:rsidR="008D7150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72F5865E" w14:textId="03194976" w:rsidR="00237451" w:rsidRPr="00902A6B" w:rsidRDefault="00237451" w:rsidP="00902A6B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902A6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 consecuencia, son requisitos de postulación</w:t>
      </w:r>
    </w:p>
    <w:p w14:paraId="6BBEA2A6" w14:textId="77777777" w:rsidR="007566B9" w:rsidRPr="00633E1B" w:rsidRDefault="007566B9" w:rsidP="007566B9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72A875" w14:textId="77744813" w:rsidR="007566B9" w:rsidRPr="00633E1B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Poseer el grado de doctor en cualquier área del conocimiento. </w:t>
      </w:r>
    </w:p>
    <w:p w14:paraId="48B53525" w14:textId="0530D6C2" w:rsidR="007566B9" w:rsidRPr="00C05BBF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Experiencia reciente demostrable como docente universitario/a de al menos cuatro años. </w:t>
      </w:r>
    </w:p>
    <w:p w14:paraId="6AC49F76" w14:textId="1F6004C3" w:rsidR="007566B9" w:rsidRPr="00C05BBF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>Es deseable la experiencia en docencia en programas transversales destinados a estudiantes de distintas disciplinas.</w:t>
      </w:r>
    </w:p>
    <w:p w14:paraId="1DAE9F6F" w14:textId="1FB77494" w:rsidR="007566B9" w:rsidRPr="00633E1B" w:rsidRDefault="00CE1B92" w:rsidP="00ED5CC2">
      <w:p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d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6A5CB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Podrán postular equipos de docentes de un máximo de tres integrantes.</w:t>
      </w:r>
    </w:p>
    <w:p w14:paraId="71A3A695" w14:textId="5F676EDD" w:rsidR="00B95916" w:rsidRPr="00633E1B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e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. </w:t>
      </w:r>
      <w:r w:rsidR="00BC20EC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Disposición al aprendizaje,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</w:t>
      </w:r>
      <w:r w:rsidR="007566B9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apacidad de auto evaluación y proactividad</w:t>
      </w:r>
      <w:r w:rsidR="0049161E">
        <w:rPr>
          <w:rFonts w:ascii="Corbel" w:eastAsia="Times New Roman" w:hAnsi="Corbel" w:cs="Times New Roman"/>
          <w:sz w:val="24"/>
          <w:szCs w:val="24"/>
          <w:lang w:val="es-CL"/>
        </w:rPr>
        <w:t>.</w:t>
      </w:r>
    </w:p>
    <w:p w14:paraId="47539969" w14:textId="77777777" w:rsidR="008D7150" w:rsidRDefault="008D7150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</w:p>
    <w:p w14:paraId="2E3A899B" w14:textId="215B5188" w:rsidR="00B95916" w:rsidRPr="00902A6B" w:rsidRDefault="00CE1B92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4. </w:t>
      </w:r>
      <w:proofErr w:type="spellStart"/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Funciones</w:t>
      </w:r>
      <w:proofErr w:type="spellEnd"/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 a </w:t>
      </w:r>
      <w:proofErr w:type="spellStart"/>
      <w:r w:rsidR="002B5487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d</w:t>
      </w:r>
      <w:r w:rsidR="00B95916" w:rsidRPr="00902A6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esempeñar</w:t>
      </w:r>
      <w:proofErr w:type="spellEnd"/>
    </w:p>
    <w:p w14:paraId="16BDD34E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0B602291" w14:textId="2C9F6057" w:rsidR="006E1BB5" w:rsidRPr="00633E1B" w:rsidRDefault="00FA00AA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Las principales 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responsabilidades 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del docente</w:t>
      </w:r>
      <w:r w:rsidR="006E1BB5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serán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021AD63E" w14:textId="77777777" w:rsidR="00B95916" w:rsidRPr="00633E1B" w:rsidRDefault="00B95916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5A99B986" w14:textId="1ED8444D" w:rsidR="00B95916" w:rsidRPr="00633E1B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Elabora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rograma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asignatura en conjunto con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unidad académica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concordancia con 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objetivos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los Estudios Generales en la UDP.</w:t>
      </w:r>
    </w:p>
    <w:p w14:paraId="1A069AF1" w14:textId="1CFEA7F1" w:rsidR="008464F4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Dictar la asignatura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durante el 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segundo semestre 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202</w:t>
      </w:r>
      <w:r w:rsid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según sea el caso.</w:t>
      </w:r>
    </w:p>
    <w:p w14:paraId="79560663" w14:textId="7DF2149E" w:rsidR="00D7164F" w:rsidRDefault="008464F4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Dictar el curso seleccionado </w:t>
      </w:r>
      <w:r w:rsidR="00D7164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ya sea en la sede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946E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Santiago y/o Huechuraba.</w:t>
      </w:r>
    </w:p>
    <w:p w14:paraId="32C9BF57" w14:textId="69A331FB" w:rsidR="00A246A8" w:rsidRPr="00A93803" w:rsidRDefault="00D7164F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Utilizar la plataforma Canvas como apoyo a la docencia presencial</w:t>
      </w:r>
      <w:r w:rsidR="00C64995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Habrá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una capacitación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estos </w:t>
      </w:r>
      <w:r w:rsidR="0049161E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efectos durante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julio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202</w:t>
      </w:r>
      <w:r w:rsid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633E1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(modalidad: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remota</w:t>
      </w:r>
      <w:r w:rsidR="00633E1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dedicación: 10 horas aproximadamente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).</w:t>
      </w:r>
    </w:p>
    <w:p w14:paraId="40AA0935" w14:textId="61CE564E" w:rsidR="00B95916" w:rsidRDefault="00A246A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Participar de las capacitaciones y reuniones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docentes del área.</w:t>
      </w:r>
    </w:p>
    <w:p w14:paraId="563003F4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148F58" w14:textId="4F93074A" w:rsidR="00B95916" w:rsidRDefault="00CE1B92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5. </w:t>
      </w:r>
      <w:proofErr w:type="spellStart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Postulación</w:t>
      </w:r>
      <w:proofErr w:type="spellEnd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 </w:t>
      </w:r>
    </w:p>
    <w:p w14:paraId="37150B61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D6259B0" w14:textId="7CD73EC9" w:rsidR="00B95916" w:rsidRPr="00314E6E" w:rsidRDefault="00633E1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314E6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5.1. </w:t>
      </w: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El/la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 deber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á presentar:</w:t>
      </w:r>
    </w:p>
    <w:p w14:paraId="0117796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7C99FED2" w14:textId="4FD1CE6B" w:rsidR="00811839" w:rsidRPr="0021331D" w:rsidRDefault="00B95916" w:rsidP="0058094D">
      <w:pPr>
        <w:numPr>
          <w:ilvl w:val="0"/>
          <w:numId w:val="32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Curr</w:t>
      </w:r>
      <w:r w:rsidR="005D05D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í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culum Vitae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especificando las asignaturas que ha impartido en los últimos c</w:t>
      </w:r>
      <w:r w:rsidR="00276F40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uatro 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años, así como el nombre de la institución</w:t>
      </w:r>
      <w:r w:rsidR="00E750CA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unidad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académica</w:t>
      </w:r>
      <w:r w:rsidR="00AE5A8E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En el caso de que postule un equipo </w:t>
      </w:r>
      <w:r w:rsidR="0021331D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docente, se</w:t>
      </w:r>
      <w:r w:rsidR="00AE5A8E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deberán adjuntar los antecedentes de cada uno</w:t>
      </w:r>
      <w:r w:rsidR="00B4565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integrantes de la propuesta.</w:t>
      </w:r>
      <w:r w:rsidR="0021331D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396C7853" w14:textId="18F96A05" w:rsidR="00E750CA" w:rsidRPr="00633E1B" w:rsidRDefault="00E750CA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Adjuntar las últimas 2 evaluaciones docentes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(internas o externas).</w:t>
      </w:r>
      <w:r w:rsid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caso de que la postulación sea hecha por un equipo</w:t>
      </w:r>
      <w:r w:rsidR="0019219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se deberán adjuntar las evaluaciones de cada uno de los académicos.</w:t>
      </w:r>
    </w:p>
    <w:p w14:paraId="2D1AB680" w14:textId="2E8CCA95" w:rsidR="005D05D3" w:rsidRPr="006F194C" w:rsidRDefault="00B95916" w:rsidP="00431389">
      <w:pPr>
        <w:pStyle w:val="Prrafodelist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Propuesta </w:t>
      </w:r>
      <w:r w:rsidR="00B22B03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 asignatura</w:t>
      </w:r>
      <w:r w:rsidR="00177835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,</w:t>
      </w:r>
      <w:r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formato preestablecido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que acompaña esta convocatoria.</w:t>
      </w:r>
      <w:r w:rsidR="00B22B03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406381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Éste es un insumo fundamental para</w:t>
      </w:r>
      <w:r w:rsidR="00CC7B33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la selección pues</w:t>
      </w:r>
      <w:r w:rsidR="00406381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determina si la propuesta está orientada a los propósitos de estudios generales</w:t>
      </w:r>
      <w:r w:rsidR="005714BC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F24E9A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 sugiere revisar el c</w:t>
      </w:r>
      <w:r w:rsidR="00DB32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atálogo de la oferta actual para así hacer propuestas con la orientación buscada y </w:t>
      </w:r>
      <w:r w:rsidR="006401DF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 la vez, </w:t>
      </w:r>
      <w:r w:rsidR="00DB32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que </w:t>
      </w:r>
      <w:r w:rsidR="003D3123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sea una nueva propuesta considerando el catálogo actual de cursos. 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Para tener una referencia</w:t>
      </w:r>
      <w:r w:rsidR="001D3DB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más acabada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orientación del Programa y de los cursos de </w:t>
      </w:r>
      <w:r w:rsidR="00EA334B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f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ormación </w:t>
      </w:r>
      <w:r w:rsidR="00EA334B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eneral que se imparten, puede consultar </w:t>
      </w:r>
      <w:r w:rsidR="00DF4087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</w:t>
      </w:r>
      <w:r w:rsidR="001D3DB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página web: </w:t>
      </w:r>
      <w:r w:rsidR="006F194C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https://estudiosgenerales.udp.cl/programas-y-oferta-semestral/programa-de-formacion-general/</w:t>
      </w:r>
    </w:p>
    <w:p w14:paraId="0B36183A" w14:textId="77777777" w:rsidR="005D05D3" w:rsidRPr="00ED5CC2" w:rsidRDefault="005D05D3" w:rsidP="005D05D3">
      <w:pPr>
        <w:pStyle w:val="Prrafodelista"/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</w:rPr>
      </w:pPr>
    </w:p>
    <w:p w14:paraId="040CD816" w14:textId="1082DE79" w:rsidR="00B95916" w:rsidRDefault="00B95916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Datos de contacto</w:t>
      </w:r>
      <w:r w:rsidR="00851410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 dos referencias</w:t>
      </w:r>
      <w:r w:rsidR="00963E8E" w:rsidRPr="00963E8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963E8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del ámbito académico</w:t>
      </w:r>
      <w:r w:rsidR="000362E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13D50775" w14:textId="20F27FD0" w:rsidR="002250EC" w:rsidRDefault="00BC20EC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Indicar </w:t>
      </w:r>
      <w:r w:rsidR="00FC3EEF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su d</w:t>
      </w:r>
      <w:r w:rsidR="002250EC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isponibilidad horaria</w:t>
      </w:r>
      <w:r w:rsidR="00B40E52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en</w:t>
      </w:r>
      <w:r w:rsidR="00FC3EEF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el cuadro del formulario de propuesta de asignatura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 los cursos se dictan en dos módulos</w:t>
      </w:r>
      <w:r w:rsidR="000362E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semanales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una hora veinte cada uno en días distintos. Solo en caso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muy justificados se aceptará una propuesta con 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 xml:space="preserve">dos módulos seguidos. Los </w:t>
      </w:r>
      <w:r w:rsidR="004D3D9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postulantes</w:t>
      </w:r>
      <w:r w:rsidR="007322E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deben marcar</w:t>
      </w:r>
      <w:r w:rsidR="004D3D9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adjunto</w:t>
      </w:r>
      <w:r w:rsidR="007322E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con una X todos los módulos horarios de la UDP en los que tienen disponibilidad</w:t>
      </w:r>
    </w:p>
    <w:p w14:paraId="52D56689" w14:textId="77777777" w:rsidR="00CE1B92" w:rsidRPr="00633E1B" w:rsidRDefault="00CE1B92" w:rsidP="00ED5CC2">
      <w:pPr>
        <w:spacing w:after="0" w:line="240" w:lineRule="auto"/>
        <w:ind w:left="720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49B35490" w14:textId="5A3875F6" w:rsidR="00B26905" w:rsidRDefault="00902A6B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5.2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>.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ES"/>
        </w:rPr>
        <w:t>Antecedentes adicionales</w:t>
      </w:r>
      <w:r w:rsidR="00774616" w:rsidRPr="0058094D">
        <w:rPr>
          <w:rFonts w:ascii="Corbel" w:eastAsia="Times New Roman" w:hAnsi="Corbel" w:cs="Calibri"/>
          <w:color w:val="000000"/>
          <w:sz w:val="24"/>
          <w:szCs w:val="24"/>
          <w:lang w:val="es-ES"/>
        </w:rPr>
        <w:t>:</w:t>
      </w:r>
      <w:r w:rsidR="00B26905"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  <w:t xml:space="preserve"> </w:t>
      </w:r>
    </w:p>
    <w:p w14:paraId="64047AE9" w14:textId="0BBC1662" w:rsidR="00B26905" w:rsidRPr="004B5B6F" w:rsidRDefault="00B26905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 w:rsidRPr="00B2690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Dentro del marco de la Ley 21.015 sobre inclusión laboral, es importante destacar que todos los procesos de selección de nuestra institución están abiertos a la postulación de personas en situación de discapacidad. En relación con lo anterior, se les solicita a los /las postulantes en situación de discapacidad expongan en su postulación si requieren algún ajuste, recurso de apoyo o condición de accesibilidad para participar de eventuales entrevistas y/o ajustes al puesto de trabajo.</w:t>
      </w:r>
    </w:p>
    <w:p w14:paraId="53B0EAAF" w14:textId="77777777" w:rsidR="005D05D3" w:rsidRDefault="00B95916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El Comité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elección podrá solicitarle a los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as concursantes antecedentes adicionales</w:t>
      </w:r>
      <w:r w:rsidR="00E5412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</w:p>
    <w:p w14:paraId="0840EA54" w14:textId="77777777" w:rsidR="005D05D3" w:rsidRDefault="005D05D3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8A0A288" w14:textId="20F1588A" w:rsidR="00B95916" w:rsidRPr="006F194C" w:rsidRDefault="005D05D3" w:rsidP="00B95916">
      <w:pPr>
        <w:spacing w:after="0" w:line="24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Los honorarios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será</w:t>
      </w:r>
      <w:r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n</w:t>
      </w:r>
      <w:r w:rsidR="00A73D7E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definid</w:t>
      </w:r>
      <w:r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os</w:t>
      </w:r>
      <w:r w:rsidR="00A73D7E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en función de 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la categorización del </w:t>
      </w:r>
      <w:r w:rsidR="00A73D7E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CV normalizado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E5412E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para </w:t>
      </w:r>
      <w:r w:rsidR="00D36535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los profesores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por hora de la Universidad.</w:t>
      </w:r>
    </w:p>
    <w:p w14:paraId="3587FBEC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CD84F45" w14:textId="6B8CFDC7" w:rsidR="00B95916" w:rsidRPr="00633E1B" w:rsidRDefault="00902A6B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6. </w:t>
      </w:r>
      <w:proofErr w:type="spellStart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Proceso</w:t>
      </w:r>
      <w:proofErr w:type="spellEnd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 xml:space="preserve"> de </w:t>
      </w:r>
      <w:proofErr w:type="spellStart"/>
      <w:r w:rsidR="00B95916" w:rsidRPr="00633E1B"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selección</w:t>
      </w:r>
      <w:proofErr w:type="spellEnd"/>
    </w:p>
    <w:p w14:paraId="5165EF4B" w14:textId="0CD94A69" w:rsidR="00B95916" w:rsidRPr="00633E1B" w:rsidRDefault="00902A6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.1.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selección contempla cuatro fases: </w:t>
      </w:r>
    </w:p>
    <w:p w14:paraId="4E99F94C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3FDA56A" w14:textId="77777777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Pre-selección en base a antecedentes solicitados. Se procederá a excluir inmediatamente a quienes no reúnan los requisitos o no hayan acompañado todos los antecedentes indicados anteriormente.</w:t>
      </w:r>
    </w:p>
    <w:p w14:paraId="34BF8DF4" w14:textId="77777777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Análisis de antecedentes para seleccionar a un grupo de 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postulantes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pre-seleccionados.</w:t>
      </w:r>
    </w:p>
    <w:p w14:paraId="33B59731" w14:textId="08F95D82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Entrevista: además de constatar las aptitudes para el cargo de los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/las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postulantes preseleccionados, se analizará con ellos las condiciones laborales en que desempeñarían el cargo.</w:t>
      </w:r>
    </w:p>
    <w:p w14:paraId="58760C90" w14:textId="5FF623C0" w:rsidR="00B95916" w:rsidRPr="00633E1B" w:rsidRDefault="00B95916" w:rsidP="00A2298F">
      <w:pPr>
        <w:numPr>
          <w:ilvl w:val="0"/>
          <w:numId w:val="35"/>
        </w:numPr>
        <w:spacing w:after="20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Finalmente, apreciando la información anterior y siguiendo los criterios y ponderaciones que se señalan más adelante, se seleccionará</w:t>
      </w:r>
      <w:r w:rsidR="00A246A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 el/la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candidat</w:t>
      </w:r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o/a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ganador</w:t>
      </w:r>
      <w:r w:rsidR="00A246A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del concurso.</w:t>
      </w:r>
    </w:p>
    <w:p w14:paraId="11291090" w14:textId="77777777" w:rsidR="00C9139A" w:rsidRDefault="00C9139A" w:rsidP="00B95916">
      <w:pPr>
        <w:spacing w:after="0" w:line="240" w:lineRule="auto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5EF23C0" w14:textId="145161FE" w:rsidR="00B95916" w:rsidRPr="00633E1B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.2.- </w:t>
      </w:r>
      <w:r w:rsidR="00B95916" w:rsidRPr="008A489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Criterios de evaluación y ponderaciones</w:t>
      </w:r>
      <w:r w:rsidR="00774616" w:rsidRPr="008A489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23B4A99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1536"/>
      </w:tblGrid>
      <w:tr w:rsidR="00B95916" w:rsidRPr="00633E1B" w14:paraId="7FBEC41A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9C539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Criterio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FD5ED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Ponderación</w:t>
            </w:r>
            <w:proofErr w:type="spellEnd"/>
          </w:p>
        </w:tc>
      </w:tr>
      <w:tr w:rsidR="00B95916" w:rsidRPr="00633E1B" w14:paraId="5D76F42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625EF" w14:textId="3F140DAB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Curriculum Vitae</w:t>
            </w:r>
            <w:r w:rsidR="008D770F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y </w:t>
            </w:r>
            <w:proofErr w:type="spellStart"/>
            <w:r w:rsidR="008D770F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antecedentes</w:t>
            </w:r>
            <w:proofErr w:type="spellEnd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A31D7" w14:textId="740E099E" w:rsidR="00B95916" w:rsidRPr="00633E1B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0 %</w:t>
            </w:r>
          </w:p>
        </w:tc>
      </w:tr>
      <w:tr w:rsidR="00B95916" w:rsidRPr="00633E1B" w14:paraId="467F4FB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136FD" w14:textId="77777777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Propuesta de esquema de asignatura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751F0" w14:textId="1CEB62F7" w:rsidR="00B95916" w:rsidRPr="00633E1B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60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%</w:t>
            </w:r>
          </w:p>
        </w:tc>
      </w:tr>
      <w:tr w:rsidR="00B95916" w:rsidRPr="00633E1B" w14:paraId="0B84437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1C5C5" w14:textId="6497D3D9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proofErr w:type="spellStart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Entrevista</w:t>
            </w:r>
            <w:proofErr w:type="spellEnd"/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personal</w:t>
            </w:r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(remota o </w:t>
            </w:r>
            <w:proofErr w:type="spellStart"/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presencial</w:t>
            </w:r>
            <w:proofErr w:type="spellEnd"/>
            <w:r w:rsidR="006908CA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CE970" w14:textId="0D406CB5" w:rsidR="00B95916" w:rsidRPr="00633E1B" w:rsidRDefault="006908CA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0%</w:t>
            </w:r>
          </w:p>
        </w:tc>
      </w:tr>
      <w:tr w:rsidR="00B95916" w:rsidRPr="00633E1B" w14:paraId="7DD02E5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9EB2" w14:textId="77777777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E0AC6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1377E3A3" w14:textId="77777777" w:rsidR="00CE1B92" w:rsidRPr="00633E1B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38CF9E14" w14:textId="63220A19" w:rsidR="00774616" w:rsidRPr="00633E1B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.3.- </w:t>
      </w:r>
      <w:r w:rsidR="00B95916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Envío de las postulaciones y plazos</w:t>
      </w:r>
      <w:r w:rsidR="00774616" w:rsidRPr="00633E1B">
        <w:rPr>
          <w:rFonts w:ascii="Corbel" w:eastAsia="Times New Roman" w:hAnsi="Corbel" w:cs="Times New Roman"/>
          <w:sz w:val="24"/>
          <w:szCs w:val="24"/>
          <w:lang w:val="es-CL"/>
        </w:rPr>
        <w:t>:</w:t>
      </w:r>
    </w:p>
    <w:p w14:paraId="0E3BE5C9" w14:textId="77777777" w:rsidR="00B95916" w:rsidRPr="00633E1B" w:rsidRDefault="00B95916" w:rsidP="005D05D3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1733B6D1" w14:textId="60FE09AA" w:rsidR="00B95916" w:rsidRPr="0058094D" w:rsidRDefault="00B95916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Las pos</w:t>
      </w:r>
      <w:r w:rsidR="0081183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tulaciones deben ser enviadas </w:t>
      </w: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vía correo electrónico a</w:t>
      </w:r>
      <w:r w:rsidR="00AB497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hyperlink r:id="rId7" w:history="1">
        <w:r w:rsidR="00AB497E" w:rsidRPr="0058094D">
          <w:rPr>
            <w:rStyle w:val="Hipervnculo"/>
            <w:rFonts w:ascii="Corbel" w:eastAsia="Times New Roman" w:hAnsi="Corbel" w:cs="Calibri"/>
            <w:b/>
            <w:bCs/>
            <w:sz w:val="24"/>
            <w:szCs w:val="24"/>
            <w:lang w:val="es-CL"/>
          </w:rPr>
          <w:t>estudiosgenerales@mail.udp.cl</w:t>
        </w:r>
      </w:hyperlink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indicando en el asunto </w:t>
      </w:r>
      <w:r w:rsidR="00691BBC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“Postulación Curso de </w:t>
      </w:r>
      <w:r w:rsidR="00A0483B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</w:t>
      </w:r>
      <w:r w:rsidR="004D3D9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202</w:t>
      </w:r>
      <w:r w:rsid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3D61C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”</w:t>
      </w:r>
      <w:r w:rsidR="00C65E3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</w:p>
    <w:p w14:paraId="34177DD6" w14:textId="11A79CB9" w:rsidR="00B95916" w:rsidRPr="0058094D" w:rsidRDefault="00B95916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lastRenderedPageBreak/>
        <w:t>Se recibi</w:t>
      </w:r>
      <w:r w:rsidR="00EE065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rán postulaciones hasta el día </w:t>
      </w:r>
      <w:r w:rsid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</w:t>
      </w:r>
      <w:r w:rsidR="008A72A1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4 </w:t>
      </w:r>
      <w:r w:rsid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 abril</w:t>
      </w:r>
      <w:r w:rsidR="000B61A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 las 18:00 horas.</w:t>
      </w:r>
    </w:p>
    <w:p w14:paraId="222CA629" w14:textId="530F5284" w:rsidR="00C679AB" w:rsidRPr="0058094D" w:rsidRDefault="00C679AB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Preparación de los cursos:</w:t>
      </w:r>
    </w:p>
    <w:p w14:paraId="77C1E3ED" w14:textId="342214B5" w:rsidR="003B509F" w:rsidRDefault="003B31F7" w:rsidP="005D05D3">
      <w:pPr>
        <w:pStyle w:val="Prrafodelista"/>
        <w:numPr>
          <w:ilvl w:val="2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Cursos del segundo semestre</w:t>
      </w:r>
      <w:r w:rsidRPr="004D1F44">
        <w:rPr>
          <w:rFonts w:ascii="Corbel" w:eastAsia="Times New Roman" w:hAnsi="Corbel" w:cs="Calibri"/>
          <w:sz w:val="24"/>
          <w:szCs w:val="24"/>
          <w:lang w:val="es-CL"/>
        </w:rPr>
        <w:t>:</w:t>
      </w:r>
      <w:r>
        <w:rPr>
          <w:rFonts w:ascii="Corbel" w:hAnsi="Corbel"/>
          <w:sz w:val="24"/>
          <w:szCs w:val="24"/>
          <w:lang w:val="es-CL"/>
        </w:rPr>
        <w:t xml:space="preserve"> </w:t>
      </w:r>
      <w:r w:rsidR="00F44A9B">
        <w:rPr>
          <w:rFonts w:ascii="Corbel" w:hAnsi="Corbel"/>
          <w:sz w:val="24"/>
          <w:szCs w:val="24"/>
          <w:lang w:val="es-CL"/>
        </w:rPr>
        <w:t xml:space="preserve">se diseñarán entre </w:t>
      </w:r>
      <w:r w:rsidR="006F194C">
        <w:rPr>
          <w:rFonts w:ascii="Corbel" w:hAnsi="Corbel"/>
          <w:sz w:val="24"/>
          <w:szCs w:val="24"/>
          <w:lang w:val="es-CL"/>
        </w:rPr>
        <w:t>mayo</w:t>
      </w:r>
      <w:r w:rsidR="00F44A9B">
        <w:rPr>
          <w:rFonts w:ascii="Corbel" w:hAnsi="Corbel"/>
          <w:sz w:val="24"/>
          <w:szCs w:val="24"/>
          <w:lang w:val="es-CL"/>
        </w:rPr>
        <w:t xml:space="preserve"> y </w:t>
      </w:r>
      <w:r w:rsidR="006F194C">
        <w:rPr>
          <w:rFonts w:ascii="Corbel" w:hAnsi="Corbel"/>
          <w:sz w:val="24"/>
          <w:szCs w:val="24"/>
          <w:lang w:val="es-CL"/>
        </w:rPr>
        <w:t>junio</w:t>
      </w:r>
      <w:r w:rsidR="00F44A9B">
        <w:rPr>
          <w:rFonts w:ascii="Corbel" w:hAnsi="Corbel"/>
          <w:sz w:val="24"/>
          <w:szCs w:val="24"/>
          <w:lang w:val="es-CL"/>
        </w:rPr>
        <w:t xml:space="preserve"> 202</w:t>
      </w:r>
      <w:r w:rsidR="006F194C">
        <w:rPr>
          <w:rFonts w:ascii="Corbel" w:hAnsi="Corbel"/>
          <w:sz w:val="24"/>
          <w:szCs w:val="24"/>
          <w:lang w:val="es-CL"/>
        </w:rPr>
        <w:t>6</w:t>
      </w:r>
      <w:r w:rsidR="00F44A9B">
        <w:rPr>
          <w:rFonts w:ascii="Corbel" w:hAnsi="Corbel"/>
          <w:sz w:val="24"/>
          <w:szCs w:val="24"/>
          <w:lang w:val="es-CL"/>
        </w:rPr>
        <w:t>.</w:t>
      </w:r>
    </w:p>
    <w:p w14:paraId="68AC5E57" w14:textId="22AB4A08" w:rsidR="006F194C" w:rsidRDefault="006F194C" w:rsidP="005D05D3">
      <w:pPr>
        <w:pStyle w:val="Prrafodelista"/>
        <w:numPr>
          <w:ilvl w:val="2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>
        <w:rPr>
          <w:rFonts w:ascii="Corbel" w:hAnsi="Corbel"/>
          <w:sz w:val="24"/>
          <w:szCs w:val="24"/>
          <w:lang w:val="es-CL"/>
        </w:rPr>
        <w:t>Comienzan la impartición del curso el 6 de agosto 2026 hasta 9 de diciembre 2026</w:t>
      </w:r>
    </w:p>
    <w:p w14:paraId="546781ED" w14:textId="0DDD6D25" w:rsidR="008A489F" w:rsidRPr="0058094D" w:rsidRDefault="000E4477" w:rsidP="005D05D3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58094D">
        <w:rPr>
          <w:rFonts w:ascii="Corbel" w:hAnsi="Corbel"/>
          <w:sz w:val="24"/>
          <w:szCs w:val="24"/>
          <w:lang w:val="es-CL"/>
        </w:rPr>
        <w:t xml:space="preserve">No </w:t>
      </w:r>
      <w:r w:rsidR="00C97606" w:rsidRPr="0058094D">
        <w:rPr>
          <w:rFonts w:ascii="Corbel" w:hAnsi="Corbel"/>
          <w:sz w:val="24"/>
          <w:szCs w:val="24"/>
          <w:lang w:val="es-CL"/>
        </w:rPr>
        <w:t>se responderán</w:t>
      </w:r>
      <w:r w:rsidRPr="0058094D">
        <w:rPr>
          <w:rFonts w:ascii="Corbel" w:hAnsi="Corbel"/>
          <w:sz w:val="24"/>
          <w:szCs w:val="24"/>
          <w:lang w:val="es-CL"/>
        </w:rPr>
        <w:t xml:space="preserve"> comentarios sobre el resultado del concurso una vez fallado,</w:t>
      </w:r>
      <w:r w:rsidR="00CF07B2" w:rsidRPr="0058094D">
        <w:rPr>
          <w:rFonts w:ascii="Corbel" w:hAnsi="Corbel"/>
          <w:sz w:val="24"/>
          <w:szCs w:val="24"/>
          <w:lang w:val="es-CL"/>
        </w:rPr>
        <w:t xml:space="preserve"> se entenderá </w:t>
      </w:r>
      <w:r w:rsidR="008A489F" w:rsidRPr="0058094D">
        <w:rPr>
          <w:rFonts w:ascii="Corbel" w:hAnsi="Corbel"/>
          <w:sz w:val="24"/>
          <w:szCs w:val="24"/>
          <w:lang w:val="es-CL"/>
        </w:rPr>
        <w:t>que,</w:t>
      </w:r>
      <w:r w:rsidR="003B509F" w:rsidRPr="0058094D">
        <w:rPr>
          <w:rFonts w:ascii="Corbel" w:hAnsi="Corbel"/>
          <w:sz w:val="24"/>
          <w:szCs w:val="24"/>
          <w:lang w:val="es-CL"/>
        </w:rPr>
        <w:t xml:space="preserve"> al postular</w:t>
      </w:r>
      <w:r w:rsidR="00ED5CC2" w:rsidRPr="0058094D">
        <w:rPr>
          <w:rFonts w:ascii="Corbel" w:hAnsi="Corbel"/>
          <w:sz w:val="24"/>
          <w:szCs w:val="24"/>
          <w:lang w:val="es-CL"/>
        </w:rPr>
        <w:t xml:space="preserve">, </w:t>
      </w:r>
      <w:r w:rsidRPr="0058094D">
        <w:rPr>
          <w:rFonts w:ascii="Corbel" w:hAnsi="Corbel"/>
          <w:sz w:val="24"/>
          <w:szCs w:val="24"/>
          <w:lang w:val="es-CL"/>
        </w:rPr>
        <w:t xml:space="preserve">los y las </w:t>
      </w:r>
      <w:r w:rsidR="003B509F" w:rsidRPr="0058094D">
        <w:rPr>
          <w:rFonts w:ascii="Corbel" w:hAnsi="Corbel"/>
          <w:sz w:val="24"/>
          <w:szCs w:val="24"/>
          <w:lang w:val="es-CL"/>
        </w:rPr>
        <w:t xml:space="preserve">académicos </w:t>
      </w:r>
      <w:r w:rsidRPr="0058094D">
        <w:rPr>
          <w:rFonts w:ascii="Corbel" w:hAnsi="Corbel"/>
          <w:sz w:val="24"/>
          <w:szCs w:val="24"/>
          <w:lang w:val="es-CL"/>
        </w:rPr>
        <w:t>ace</w:t>
      </w:r>
      <w:r w:rsidR="00CF07B2" w:rsidRPr="0058094D">
        <w:rPr>
          <w:rFonts w:ascii="Corbel" w:hAnsi="Corbel"/>
          <w:sz w:val="24"/>
          <w:szCs w:val="24"/>
          <w:lang w:val="es-CL"/>
        </w:rPr>
        <w:t>ptan las bases y sus resultados</w:t>
      </w:r>
      <w:r w:rsidR="003B509F" w:rsidRPr="0058094D">
        <w:rPr>
          <w:rFonts w:ascii="Corbel" w:hAnsi="Corbel"/>
          <w:sz w:val="24"/>
          <w:szCs w:val="24"/>
          <w:lang w:val="es-CL"/>
        </w:rPr>
        <w:t>.</w:t>
      </w:r>
    </w:p>
    <w:p w14:paraId="67FD5C2B" w14:textId="02B0DA18" w:rsidR="008A489F" w:rsidRPr="0058094D" w:rsidRDefault="008A489F" w:rsidP="005D05D3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58094D">
        <w:rPr>
          <w:rFonts w:ascii="Corbel" w:hAnsi="Corbel"/>
          <w:sz w:val="24"/>
          <w:szCs w:val="24"/>
          <w:lang w:val="es-CL"/>
        </w:rPr>
        <w:t>Los cursos se dictarán siempre y cuando tengan un mínimo de veinte estudiantes inscritos.</w:t>
      </w:r>
    </w:p>
    <w:sectPr w:rsidR="008A489F" w:rsidRPr="00580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F1B"/>
    <w:multiLevelType w:val="multilevel"/>
    <w:tmpl w:val="07665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0C2"/>
    <w:multiLevelType w:val="multilevel"/>
    <w:tmpl w:val="119C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A6E41E8"/>
    <w:multiLevelType w:val="multilevel"/>
    <w:tmpl w:val="89283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7247"/>
    <w:multiLevelType w:val="hybridMultilevel"/>
    <w:tmpl w:val="B03C8C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37AD"/>
    <w:multiLevelType w:val="hybridMultilevel"/>
    <w:tmpl w:val="3B0CA9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3B43"/>
    <w:multiLevelType w:val="multilevel"/>
    <w:tmpl w:val="903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B1892"/>
    <w:multiLevelType w:val="multilevel"/>
    <w:tmpl w:val="79588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E0716"/>
    <w:multiLevelType w:val="hybridMultilevel"/>
    <w:tmpl w:val="310859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763"/>
    <w:multiLevelType w:val="hybridMultilevel"/>
    <w:tmpl w:val="0D98C160"/>
    <w:lvl w:ilvl="0" w:tplc="154202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2C6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82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A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C1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5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C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45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F2CA4"/>
    <w:multiLevelType w:val="multilevel"/>
    <w:tmpl w:val="545CB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orbel" w:eastAsia="Times New Roman" w:hAnsi="Corbel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93045"/>
    <w:multiLevelType w:val="hybridMultilevel"/>
    <w:tmpl w:val="EAAEADA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5DDD"/>
    <w:multiLevelType w:val="hybridMultilevel"/>
    <w:tmpl w:val="74D206F0"/>
    <w:lvl w:ilvl="0" w:tplc="501CB29A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115F"/>
    <w:multiLevelType w:val="multilevel"/>
    <w:tmpl w:val="BD3E71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97302"/>
    <w:multiLevelType w:val="multilevel"/>
    <w:tmpl w:val="BB984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36E25"/>
    <w:multiLevelType w:val="hybridMultilevel"/>
    <w:tmpl w:val="987097B8"/>
    <w:lvl w:ilvl="0" w:tplc="F810176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6CB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4B6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4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C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AE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C2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49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950CD"/>
    <w:multiLevelType w:val="multilevel"/>
    <w:tmpl w:val="F824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E164E"/>
    <w:multiLevelType w:val="multilevel"/>
    <w:tmpl w:val="5E9AC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70A3A"/>
    <w:multiLevelType w:val="hybridMultilevel"/>
    <w:tmpl w:val="22B6E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8381F"/>
    <w:multiLevelType w:val="multilevel"/>
    <w:tmpl w:val="5E543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64454"/>
    <w:multiLevelType w:val="multilevel"/>
    <w:tmpl w:val="8D24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0E56"/>
    <w:multiLevelType w:val="multilevel"/>
    <w:tmpl w:val="3E86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54DFB"/>
    <w:multiLevelType w:val="hybridMultilevel"/>
    <w:tmpl w:val="AD1A7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05ABC"/>
    <w:multiLevelType w:val="hybridMultilevel"/>
    <w:tmpl w:val="58DC76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17CFC"/>
    <w:multiLevelType w:val="multilevel"/>
    <w:tmpl w:val="4F28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928E4"/>
    <w:multiLevelType w:val="multilevel"/>
    <w:tmpl w:val="CF269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D7742C"/>
    <w:multiLevelType w:val="multilevel"/>
    <w:tmpl w:val="F50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2B4268"/>
    <w:multiLevelType w:val="multilevel"/>
    <w:tmpl w:val="BA6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95408"/>
    <w:multiLevelType w:val="hybridMultilevel"/>
    <w:tmpl w:val="F4BC9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1142">
    <w:abstractNumId w:val="5"/>
  </w:num>
  <w:num w:numId="2" w16cid:durableId="1896310821">
    <w:abstractNumId w:val="18"/>
    <w:lvlOverride w:ilvl="0">
      <w:lvl w:ilvl="0">
        <w:numFmt w:val="decimal"/>
        <w:lvlText w:val="%1."/>
        <w:lvlJc w:val="left"/>
      </w:lvl>
    </w:lvlOverride>
  </w:num>
  <w:num w:numId="3" w16cid:durableId="1099909606">
    <w:abstractNumId w:val="20"/>
    <w:lvlOverride w:ilvl="0">
      <w:lvl w:ilvl="0">
        <w:numFmt w:val="lowerLetter"/>
        <w:lvlText w:val="%1."/>
        <w:lvlJc w:val="left"/>
      </w:lvl>
    </w:lvlOverride>
  </w:num>
  <w:num w:numId="4" w16cid:durableId="1119951340">
    <w:abstractNumId w:val="6"/>
    <w:lvlOverride w:ilvl="0">
      <w:lvl w:ilvl="0">
        <w:numFmt w:val="decimal"/>
        <w:lvlText w:val="%1."/>
        <w:lvlJc w:val="left"/>
      </w:lvl>
    </w:lvlOverride>
  </w:num>
  <w:num w:numId="5" w16cid:durableId="621813073">
    <w:abstractNumId w:val="14"/>
  </w:num>
  <w:num w:numId="6" w16cid:durableId="1405569387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7" w16cid:durableId="922448106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8" w16cid:durableId="1261137271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9" w16cid:durableId="644237464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0" w16cid:durableId="1755738837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1" w16cid:durableId="1012562740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2" w16cid:durableId="1904632892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3" w16cid:durableId="67193904">
    <w:abstractNumId w:val="23"/>
    <w:lvlOverride w:ilvl="0">
      <w:lvl w:ilvl="0">
        <w:numFmt w:val="lowerLetter"/>
        <w:lvlText w:val="%1."/>
        <w:lvlJc w:val="left"/>
      </w:lvl>
    </w:lvlOverride>
  </w:num>
  <w:num w:numId="14" w16cid:durableId="1335455215">
    <w:abstractNumId w:val="9"/>
    <w:lvlOverride w:ilvl="0">
      <w:lvl w:ilvl="0">
        <w:numFmt w:val="decimal"/>
        <w:lvlText w:val="%1."/>
        <w:lvlJc w:val="left"/>
      </w:lvl>
    </w:lvlOverride>
  </w:num>
  <w:num w:numId="15" w16cid:durableId="665549950">
    <w:abstractNumId w:val="26"/>
    <w:lvlOverride w:ilvl="0">
      <w:lvl w:ilvl="0">
        <w:numFmt w:val="lowerLetter"/>
        <w:lvlText w:val="%1."/>
        <w:lvlJc w:val="left"/>
      </w:lvl>
    </w:lvlOverride>
  </w:num>
  <w:num w:numId="16" w16cid:durableId="1663846988">
    <w:abstractNumId w:val="15"/>
    <w:lvlOverride w:ilvl="0">
      <w:lvl w:ilvl="0">
        <w:numFmt w:val="lowerLetter"/>
        <w:lvlText w:val="%1."/>
        <w:lvlJc w:val="left"/>
      </w:lvl>
    </w:lvlOverride>
  </w:num>
  <w:num w:numId="17" w16cid:durableId="284116538">
    <w:abstractNumId w:val="8"/>
  </w:num>
  <w:num w:numId="18" w16cid:durableId="1715808847">
    <w:abstractNumId w:val="25"/>
  </w:num>
  <w:num w:numId="19" w16cid:durableId="2095319066">
    <w:abstractNumId w:val="13"/>
  </w:num>
  <w:num w:numId="20" w16cid:durableId="247663322">
    <w:abstractNumId w:val="17"/>
  </w:num>
  <w:num w:numId="21" w16cid:durableId="1933510964">
    <w:abstractNumId w:val="0"/>
  </w:num>
  <w:num w:numId="22" w16cid:durableId="230233689">
    <w:abstractNumId w:val="24"/>
  </w:num>
  <w:num w:numId="23" w16cid:durableId="410738269">
    <w:abstractNumId w:val="27"/>
  </w:num>
  <w:num w:numId="24" w16cid:durableId="1608467119">
    <w:abstractNumId w:val="19"/>
  </w:num>
  <w:num w:numId="25" w16cid:durableId="38169320">
    <w:abstractNumId w:val="1"/>
  </w:num>
  <w:num w:numId="26" w16cid:durableId="1993946984">
    <w:abstractNumId w:val="21"/>
  </w:num>
  <w:num w:numId="27" w16cid:durableId="1680309096">
    <w:abstractNumId w:val="4"/>
  </w:num>
  <w:num w:numId="28" w16cid:durableId="438063322">
    <w:abstractNumId w:val="3"/>
  </w:num>
  <w:num w:numId="29" w16cid:durableId="1905213063">
    <w:abstractNumId w:val="7"/>
  </w:num>
  <w:num w:numId="30" w16cid:durableId="1049380740">
    <w:abstractNumId w:val="22"/>
  </w:num>
  <w:num w:numId="31" w16cid:durableId="461727358">
    <w:abstractNumId w:val="2"/>
  </w:num>
  <w:num w:numId="32" w16cid:durableId="294793784">
    <w:abstractNumId w:val="12"/>
  </w:num>
  <w:num w:numId="33" w16cid:durableId="540869081">
    <w:abstractNumId w:val="10"/>
  </w:num>
  <w:num w:numId="34" w16cid:durableId="433550634">
    <w:abstractNumId w:val="11"/>
  </w:num>
  <w:num w:numId="35" w16cid:durableId="16076180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16"/>
    <w:rsid w:val="00006403"/>
    <w:rsid w:val="0001258C"/>
    <w:rsid w:val="0001535A"/>
    <w:rsid w:val="00021A31"/>
    <w:rsid w:val="00022FB5"/>
    <w:rsid w:val="000346CD"/>
    <w:rsid w:val="00034A04"/>
    <w:rsid w:val="000362E9"/>
    <w:rsid w:val="00044781"/>
    <w:rsid w:val="00045D8A"/>
    <w:rsid w:val="00061F92"/>
    <w:rsid w:val="00065E3E"/>
    <w:rsid w:val="000714AE"/>
    <w:rsid w:val="0007418F"/>
    <w:rsid w:val="00075B41"/>
    <w:rsid w:val="00092F2E"/>
    <w:rsid w:val="000B02BF"/>
    <w:rsid w:val="000B3DA2"/>
    <w:rsid w:val="000B61A6"/>
    <w:rsid w:val="000C33A7"/>
    <w:rsid w:val="000D4469"/>
    <w:rsid w:val="000E4477"/>
    <w:rsid w:val="000E7B63"/>
    <w:rsid w:val="000F3A9E"/>
    <w:rsid w:val="0012785B"/>
    <w:rsid w:val="001319B9"/>
    <w:rsid w:val="00135A32"/>
    <w:rsid w:val="001409C0"/>
    <w:rsid w:val="0015243E"/>
    <w:rsid w:val="00160DC5"/>
    <w:rsid w:val="00163A9A"/>
    <w:rsid w:val="00165AB7"/>
    <w:rsid w:val="00177835"/>
    <w:rsid w:val="00192195"/>
    <w:rsid w:val="001A2763"/>
    <w:rsid w:val="001B1769"/>
    <w:rsid w:val="001C0A38"/>
    <w:rsid w:val="001C1D34"/>
    <w:rsid w:val="001C7DCB"/>
    <w:rsid w:val="001D3DB9"/>
    <w:rsid w:val="001D621D"/>
    <w:rsid w:val="00201BDA"/>
    <w:rsid w:val="002128D2"/>
    <w:rsid w:val="0021331D"/>
    <w:rsid w:val="00223DFF"/>
    <w:rsid w:val="002250EC"/>
    <w:rsid w:val="00237451"/>
    <w:rsid w:val="00276F40"/>
    <w:rsid w:val="00295F27"/>
    <w:rsid w:val="002B1333"/>
    <w:rsid w:val="002B33A6"/>
    <w:rsid w:val="002B5487"/>
    <w:rsid w:val="002C2396"/>
    <w:rsid w:val="002C75CF"/>
    <w:rsid w:val="002D44E5"/>
    <w:rsid w:val="002D7A0E"/>
    <w:rsid w:val="003014BB"/>
    <w:rsid w:val="00314E6E"/>
    <w:rsid w:val="00343B67"/>
    <w:rsid w:val="0036196C"/>
    <w:rsid w:val="003755F7"/>
    <w:rsid w:val="003A0530"/>
    <w:rsid w:val="003A2081"/>
    <w:rsid w:val="003A3392"/>
    <w:rsid w:val="003B31F7"/>
    <w:rsid w:val="003B509F"/>
    <w:rsid w:val="003C272D"/>
    <w:rsid w:val="003D3123"/>
    <w:rsid w:val="003D31E0"/>
    <w:rsid w:val="003D61CC"/>
    <w:rsid w:val="003E3C09"/>
    <w:rsid w:val="003E4DC5"/>
    <w:rsid w:val="003F5052"/>
    <w:rsid w:val="00406381"/>
    <w:rsid w:val="00434F2A"/>
    <w:rsid w:val="004409B8"/>
    <w:rsid w:val="00453A8B"/>
    <w:rsid w:val="004619EE"/>
    <w:rsid w:val="00474172"/>
    <w:rsid w:val="004800DA"/>
    <w:rsid w:val="00483F71"/>
    <w:rsid w:val="0048532F"/>
    <w:rsid w:val="0048550B"/>
    <w:rsid w:val="00486A78"/>
    <w:rsid w:val="0049161E"/>
    <w:rsid w:val="004A42C0"/>
    <w:rsid w:val="004A7A92"/>
    <w:rsid w:val="004B5B6F"/>
    <w:rsid w:val="004D1F44"/>
    <w:rsid w:val="004D3D99"/>
    <w:rsid w:val="004E62D0"/>
    <w:rsid w:val="004E7D45"/>
    <w:rsid w:val="004F0532"/>
    <w:rsid w:val="00505234"/>
    <w:rsid w:val="00512EE7"/>
    <w:rsid w:val="005134E0"/>
    <w:rsid w:val="005166A1"/>
    <w:rsid w:val="00523DA6"/>
    <w:rsid w:val="00542866"/>
    <w:rsid w:val="005450F8"/>
    <w:rsid w:val="005514F6"/>
    <w:rsid w:val="00564DD8"/>
    <w:rsid w:val="005677B8"/>
    <w:rsid w:val="0057126C"/>
    <w:rsid w:val="005714BC"/>
    <w:rsid w:val="0057595F"/>
    <w:rsid w:val="00576038"/>
    <w:rsid w:val="0058094D"/>
    <w:rsid w:val="00580E76"/>
    <w:rsid w:val="00582F7F"/>
    <w:rsid w:val="005916AA"/>
    <w:rsid w:val="005931FB"/>
    <w:rsid w:val="005A05BD"/>
    <w:rsid w:val="005B5AC4"/>
    <w:rsid w:val="005B6993"/>
    <w:rsid w:val="005C2C31"/>
    <w:rsid w:val="005C7DE8"/>
    <w:rsid w:val="005D05D3"/>
    <w:rsid w:val="0060096B"/>
    <w:rsid w:val="00611481"/>
    <w:rsid w:val="00615A87"/>
    <w:rsid w:val="006161CA"/>
    <w:rsid w:val="006260C4"/>
    <w:rsid w:val="006277CB"/>
    <w:rsid w:val="00633E1B"/>
    <w:rsid w:val="006401DF"/>
    <w:rsid w:val="006908CA"/>
    <w:rsid w:val="00691BBC"/>
    <w:rsid w:val="006923C1"/>
    <w:rsid w:val="006A5CBA"/>
    <w:rsid w:val="006B6247"/>
    <w:rsid w:val="006B695E"/>
    <w:rsid w:val="006C5027"/>
    <w:rsid w:val="006E1BB5"/>
    <w:rsid w:val="006F194C"/>
    <w:rsid w:val="006F5FFD"/>
    <w:rsid w:val="007046D5"/>
    <w:rsid w:val="00706786"/>
    <w:rsid w:val="00731409"/>
    <w:rsid w:val="007322E3"/>
    <w:rsid w:val="007343D2"/>
    <w:rsid w:val="007566B9"/>
    <w:rsid w:val="00760DDA"/>
    <w:rsid w:val="00767685"/>
    <w:rsid w:val="00774616"/>
    <w:rsid w:val="00776D3F"/>
    <w:rsid w:val="007806F1"/>
    <w:rsid w:val="00792C67"/>
    <w:rsid w:val="00793243"/>
    <w:rsid w:val="00797C11"/>
    <w:rsid w:val="007B5CE8"/>
    <w:rsid w:val="007E7A68"/>
    <w:rsid w:val="007F30E8"/>
    <w:rsid w:val="007F5F0C"/>
    <w:rsid w:val="00811839"/>
    <w:rsid w:val="008273C0"/>
    <w:rsid w:val="00830845"/>
    <w:rsid w:val="008323EF"/>
    <w:rsid w:val="008464F4"/>
    <w:rsid w:val="00851410"/>
    <w:rsid w:val="00875266"/>
    <w:rsid w:val="008946E1"/>
    <w:rsid w:val="008A489F"/>
    <w:rsid w:val="008A543A"/>
    <w:rsid w:val="008A72A1"/>
    <w:rsid w:val="008B2744"/>
    <w:rsid w:val="008B287A"/>
    <w:rsid w:val="008C3A09"/>
    <w:rsid w:val="008C5193"/>
    <w:rsid w:val="008D430E"/>
    <w:rsid w:val="008D7150"/>
    <w:rsid w:val="008D770F"/>
    <w:rsid w:val="008D7A03"/>
    <w:rsid w:val="008E163F"/>
    <w:rsid w:val="008F2704"/>
    <w:rsid w:val="008F36B4"/>
    <w:rsid w:val="008F4C6F"/>
    <w:rsid w:val="008F68D8"/>
    <w:rsid w:val="00902A6B"/>
    <w:rsid w:val="009077A7"/>
    <w:rsid w:val="0091191F"/>
    <w:rsid w:val="009363C3"/>
    <w:rsid w:val="009439B4"/>
    <w:rsid w:val="009440BD"/>
    <w:rsid w:val="00953415"/>
    <w:rsid w:val="00963137"/>
    <w:rsid w:val="00963E8E"/>
    <w:rsid w:val="0098743E"/>
    <w:rsid w:val="00994520"/>
    <w:rsid w:val="009965C1"/>
    <w:rsid w:val="00997497"/>
    <w:rsid w:val="009B5CC5"/>
    <w:rsid w:val="009B5F08"/>
    <w:rsid w:val="009C7898"/>
    <w:rsid w:val="009D45B4"/>
    <w:rsid w:val="00A0483B"/>
    <w:rsid w:val="00A1050D"/>
    <w:rsid w:val="00A133E1"/>
    <w:rsid w:val="00A2298F"/>
    <w:rsid w:val="00A237C7"/>
    <w:rsid w:val="00A246A8"/>
    <w:rsid w:val="00A33FD9"/>
    <w:rsid w:val="00A35338"/>
    <w:rsid w:val="00A412A8"/>
    <w:rsid w:val="00A73D7E"/>
    <w:rsid w:val="00A93803"/>
    <w:rsid w:val="00AA3F16"/>
    <w:rsid w:val="00AB497E"/>
    <w:rsid w:val="00AB7809"/>
    <w:rsid w:val="00AC6A2B"/>
    <w:rsid w:val="00AD4100"/>
    <w:rsid w:val="00AE5A8E"/>
    <w:rsid w:val="00B04F41"/>
    <w:rsid w:val="00B127AF"/>
    <w:rsid w:val="00B1513A"/>
    <w:rsid w:val="00B22B03"/>
    <w:rsid w:val="00B2580B"/>
    <w:rsid w:val="00B26905"/>
    <w:rsid w:val="00B346E1"/>
    <w:rsid w:val="00B40E52"/>
    <w:rsid w:val="00B4565E"/>
    <w:rsid w:val="00B538D4"/>
    <w:rsid w:val="00B66EBF"/>
    <w:rsid w:val="00B70BA4"/>
    <w:rsid w:val="00B73036"/>
    <w:rsid w:val="00B73FA9"/>
    <w:rsid w:val="00B82325"/>
    <w:rsid w:val="00B90391"/>
    <w:rsid w:val="00B94804"/>
    <w:rsid w:val="00B95916"/>
    <w:rsid w:val="00B9752E"/>
    <w:rsid w:val="00BA2648"/>
    <w:rsid w:val="00BB4CEE"/>
    <w:rsid w:val="00BC20EC"/>
    <w:rsid w:val="00BC7E6E"/>
    <w:rsid w:val="00BD049D"/>
    <w:rsid w:val="00BD444F"/>
    <w:rsid w:val="00BD5560"/>
    <w:rsid w:val="00BE455C"/>
    <w:rsid w:val="00C05BBF"/>
    <w:rsid w:val="00C27B9C"/>
    <w:rsid w:val="00C64995"/>
    <w:rsid w:val="00C65E39"/>
    <w:rsid w:val="00C679AB"/>
    <w:rsid w:val="00C9139A"/>
    <w:rsid w:val="00C9593C"/>
    <w:rsid w:val="00C97606"/>
    <w:rsid w:val="00CA423B"/>
    <w:rsid w:val="00CB19F8"/>
    <w:rsid w:val="00CB4C65"/>
    <w:rsid w:val="00CC7B33"/>
    <w:rsid w:val="00CD0481"/>
    <w:rsid w:val="00CD2ECE"/>
    <w:rsid w:val="00CE1B92"/>
    <w:rsid w:val="00CE2E3D"/>
    <w:rsid w:val="00CF07B2"/>
    <w:rsid w:val="00D10E7E"/>
    <w:rsid w:val="00D241EE"/>
    <w:rsid w:val="00D35EC1"/>
    <w:rsid w:val="00D36535"/>
    <w:rsid w:val="00D425BA"/>
    <w:rsid w:val="00D427D4"/>
    <w:rsid w:val="00D5748B"/>
    <w:rsid w:val="00D57ABE"/>
    <w:rsid w:val="00D6012F"/>
    <w:rsid w:val="00D64A68"/>
    <w:rsid w:val="00D7164F"/>
    <w:rsid w:val="00D76D42"/>
    <w:rsid w:val="00D819DB"/>
    <w:rsid w:val="00D82A2C"/>
    <w:rsid w:val="00D87132"/>
    <w:rsid w:val="00DB3239"/>
    <w:rsid w:val="00DE5760"/>
    <w:rsid w:val="00DF4087"/>
    <w:rsid w:val="00DF749F"/>
    <w:rsid w:val="00E431C9"/>
    <w:rsid w:val="00E43F83"/>
    <w:rsid w:val="00E5412E"/>
    <w:rsid w:val="00E616C4"/>
    <w:rsid w:val="00E6786C"/>
    <w:rsid w:val="00E750CA"/>
    <w:rsid w:val="00E75A0B"/>
    <w:rsid w:val="00E76B83"/>
    <w:rsid w:val="00E824F7"/>
    <w:rsid w:val="00E83057"/>
    <w:rsid w:val="00E95033"/>
    <w:rsid w:val="00E959F4"/>
    <w:rsid w:val="00EA334B"/>
    <w:rsid w:val="00EA7E2E"/>
    <w:rsid w:val="00EC45A8"/>
    <w:rsid w:val="00ED5CC2"/>
    <w:rsid w:val="00EE0656"/>
    <w:rsid w:val="00F01525"/>
    <w:rsid w:val="00F02A76"/>
    <w:rsid w:val="00F16520"/>
    <w:rsid w:val="00F200A2"/>
    <w:rsid w:val="00F242F9"/>
    <w:rsid w:val="00F2489E"/>
    <w:rsid w:val="00F24E9A"/>
    <w:rsid w:val="00F37FCA"/>
    <w:rsid w:val="00F43305"/>
    <w:rsid w:val="00F44A9B"/>
    <w:rsid w:val="00F514B0"/>
    <w:rsid w:val="00F55343"/>
    <w:rsid w:val="00F776B0"/>
    <w:rsid w:val="00F91004"/>
    <w:rsid w:val="00F94324"/>
    <w:rsid w:val="00FA00AA"/>
    <w:rsid w:val="00FA4910"/>
    <w:rsid w:val="00FB1611"/>
    <w:rsid w:val="00FC23A8"/>
    <w:rsid w:val="00FC269D"/>
    <w:rsid w:val="00FC3EEF"/>
    <w:rsid w:val="00FE556B"/>
    <w:rsid w:val="00FF0063"/>
    <w:rsid w:val="00FF0FB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4B0"/>
  <w15:chartTrackingRefBased/>
  <w15:docId w15:val="{5B4B8CFA-4765-4D68-8EEB-D03D6C40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59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065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54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54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54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4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4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48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B49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D049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A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67">
          <w:marLeft w:val="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tudiosgenerales@mail.udp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81EA-9E23-49DF-80ED-A86A7EB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1361</Words>
  <Characters>7704</Characters>
  <Application>Microsoft Office Word</Application>
  <DocSecurity>0</DocSecurity>
  <Lines>183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Paloma Henríquez Olivares</cp:lastModifiedBy>
  <cp:revision>2</cp:revision>
  <dcterms:created xsi:type="dcterms:W3CDTF">2026-04-16T15:21:00Z</dcterms:created>
  <dcterms:modified xsi:type="dcterms:W3CDTF">2026-04-16T15:21:00Z</dcterms:modified>
</cp:coreProperties>
</file>